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AD" w:rsidRDefault="001412AD" w:rsidP="001412AD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Описание</w:t>
      </w:r>
      <w:r w:rsidR="00034B61">
        <w:rPr>
          <w:rFonts w:eastAsia="Times New Roman"/>
        </w:rPr>
        <w:t xml:space="preserve"> -забор(препятствие)</w:t>
      </w:r>
    </w:p>
    <w:p w:rsidR="00790B6E" w:rsidRDefault="001412AD" w:rsidP="001412AD">
      <w:pPr>
        <w:jc w:val="both"/>
        <w:rPr>
          <w:rFonts w:eastAsia="Times New Roman"/>
        </w:rPr>
      </w:pPr>
      <w:r>
        <w:rPr>
          <w:rStyle w:val="a3"/>
          <w:rFonts w:eastAsia="Times New Roman"/>
        </w:rPr>
        <w:t xml:space="preserve">Забор спортивный </w:t>
      </w:r>
      <w:r>
        <w:rPr>
          <w:rFonts w:eastAsia="Times New Roman"/>
        </w:rPr>
        <w:t>предназначен для проведения тренировок и соревнований по пожарно-прикладному виду спорта.</w:t>
      </w:r>
      <w:r w:rsidR="005F5C44">
        <w:rPr>
          <w:rFonts w:eastAsia="Times New Roman"/>
        </w:rPr>
        <w:t xml:space="preserve"> </w:t>
      </w:r>
      <w:r>
        <w:rPr>
          <w:rFonts w:eastAsia="Times New Roman"/>
        </w:rPr>
        <w:t>Устанавливается на беговую дорожку как в помещение, так и вне его.</w:t>
      </w:r>
      <w:r w:rsidR="00790B6E">
        <w:rPr>
          <w:rFonts w:eastAsia="Times New Roman"/>
        </w:rPr>
        <w:t xml:space="preserve"> </w:t>
      </w:r>
      <w:r>
        <w:rPr>
          <w:rFonts w:eastAsia="Times New Roman"/>
        </w:rPr>
        <w:t>Может эксплуатироваться в естественных климатических условиях при температурах ±40°С, и относительной влажности воздуха 90% при температуре + 27°С.</w:t>
      </w:r>
      <w:r w:rsidR="00790B6E">
        <w:rPr>
          <w:rFonts w:eastAsia="Times New Roman"/>
        </w:rPr>
        <w:t xml:space="preserve"> </w:t>
      </w:r>
    </w:p>
    <w:p w:rsidR="00790B6E" w:rsidRDefault="00790B6E" w:rsidP="001412AD">
      <w:pPr>
        <w:jc w:val="both"/>
        <w:rPr>
          <w:rFonts w:eastAsia="Times New Roman"/>
        </w:rPr>
      </w:pP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 xml:space="preserve">Габаритные и установочные </w:t>
      </w:r>
      <w:proofErr w:type="gramStart"/>
      <w:r>
        <w:rPr>
          <w:rFonts w:eastAsia="Times New Roman"/>
        </w:rPr>
        <w:t xml:space="preserve">размеры </w:t>
      </w:r>
      <w:r w:rsidR="00790B6E" w:rsidRPr="00790B6E">
        <w:rPr>
          <w:rFonts w:eastAsia="Times New Roman"/>
        </w:rPr>
        <w:t>:</w:t>
      </w:r>
      <w:proofErr w:type="gramEnd"/>
      <w:r>
        <w:rPr>
          <w:rFonts w:eastAsia="Times New Roman"/>
        </w:rPr>
        <w:t xml:space="preserve"> высота макс. - 2м, шири</w:t>
      </w:r>
      <w:r w:rsidR="00790B6E">
        <w:rPr>
          <w:rFonts w:eastAsia="Times New Roman"/>
        </w:rPr>
        <w:t>на по габаритам стоек около – 2,</w:t>
      </w:r>
      <w:r>
        <w:rPr>
          <w:rFonts w:eastAsia="Times New Roman"/>
        </w:rPr>
        <w:t>1м, ширина деревянного щита не менее -1,7м .</w:t>
      </w:r>
      <w:r w:rsidR="00790B6E">
        <w:rPr>
          <w:rFonts w:eastAsia="Times New Roman"/>
        </w:rPr>
        <w:t xml:space="preserve"> </w:t>
      </w:r>
      <w:r>
        <w:rPr>
          <w:rFonts w:eastAsia="Times New Roman"/>
        </w:rPr>
        <w:t>«Забор» состоит из несущего элемента – деревянного щита и двух стоек, крепящимися к нему. На лицевые стороны щита прикреплена с двух сторон резиновая накладка из материала «</w:t>
      </w:r>
      <w:proofErr w:type="spellStart"/>
      <w:r>
        <w:rPr>
          <w:rFonts w:eastAsia="Times New Roman"/>
        </w:rPr>
        <w:t>Регупол</w:t>
      </w:r>
      <w:proofErr w:type="spellEnd"/>
      <w:r>
        <w:rPr>
          <w:rFonts w:eastAsia="Times New Roman"/>
        </w:rPr>
        <w:t>»</w:t>
      </w:r>
      <w:r w:rsidR="00790B6E">
        <w:rPr>
          <w:rFonts w:eastAsia="Times New Roman"/>
        </w:rPr>
        <w:t xml:space="preserve"> (</w:t>
      </w:r>
      <w:r w:rsidR="00790B6E">
        <w:t xml:space="preserve">резиновый </w:t>
      </w:r>
      <w:proofErr w:type="spellStart"/>
      <w:r w:rsidR="00790B6E">
        <w:t>гранулят</w:t>
      </w:r>
      <w:proofErr w:type="spellEnd"/>
      <w:r w:rsidR="00790B6E">
        <w:t xml:space="preserve"> связанный холодной </w:t>
      </w:r>
      <w:proofErr w:type="spellStart"/>
      <w:r w:rsidR="00790B6E">
        <w:t>полиуритановой</w:t>
      </w:r>
      <w:proofErr w:type="spellEnd"/>
      <w:r w:rsidR="00790B6E">
        <w:t xml:space="preserve"> связкой, обладает большой стойкостью к физическим </w:t>
      </w:r>
      <w:proofErr w:type="gramStart"/>
      <w:r w:rsidR="00790B6E">
        <w:t>нагрузкам</w:t>
      </w:r>
      <w:r w:rsidR="00790B6E">
        <w:t xml:space="preserve">) </w:t>
      </w:r>
      <w:r w:rsidR="00790B6E" w:rsidRPr="00790B6E">
        <w:rPr>
          <w:rFonts w:eastAsia="Times New Roman"/>
        </w:rPr>
        <w:t xml:space="preserve"> </w:t>
      </w:r>
      <w:r w:rsidR="00790B6E">
        <w:rPr>
          <w:rFonts w:eastAsia="Times New Roman"/>
        </w:rPr>
        <w:t>или</w:t>
      </w:r>
      <w:proofErr w:type="gramEnd"/>
      <w:r w:rsidR="00790B6E">
        <w:rPr>
          <w:rFonts w:eastAsia="Times New Roman"/>
        </w:rPr>
        <w:t xml:space="preserve"> аналог</w:t>
      </w:r>
      <w:r>
        <w:rPr>
          <w:rFonts w:eastAsia="Times New Roman"/>
        </w:rPr>
        <w:t xml:space="preserve">. </w:t>
      </w:r>
    </w:p>
    <w:p w:rsidR="00034B61" w:rsidRDefault="00034B61" w:rsidP="001412AD">
      <w:pPr>
        <w:jc w:val="both"/>
        <w:rPr>
          <w:rFonts w:eastAsia="Times New Roman"/>
        </w:rPr>
      </w:pPr>
    </w:p>
    <w:p w:rsidR="00034B61" w:rsidRDefault="001412AD" w:rsidP="001412AD">
      <w:pPr>
        <w:jc w:val="both"/>
        <w:rPr>
          <w:rStyle w:val="a3"/>
          <w:rFonts w:eastAsia="Times New Roman"/>
        </w:rPr>
      </w:pPr>
      <w:r>
        <w:rPr>
          <w:rStyle w:val="a3"/>
          <w:rFonts w:eastAsia="Times New Roman"/>
        </w:rPr>
        <w:t xml:space="preserve">Конструкция «Забора» позволяет: 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- менять высоту щита от уровня беговой дорожки до верхней точки в пределах от 2м до 1,7м, за счёт поворота его на осях, закреплённых на стойках,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- для удобства транспортировки «Забор» разбирается на элементы, размеры которых не превышают 1,7м х 1,8м х 0,6м,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- монтировать (крепить) два, три, четыре Забора в единое целое, присоединяя дополнительно к 1-ому «Забору» по одному щиту и одной стойки для каждого шага увеличения,</w:t>
      </w:r>
      <w:r>
        <w:rPr>
          <w:rFonts w:eastAsia="Times New Roman"/>
        </w:rPr>
        <w:br/>
        <w:t>- заменять изношенные элементы щита (доски и резиновое покрытие</w:t>
      </w:r>
      <w:proofErr w:type="gramStart"/>
      <w:r>
        <w:rPr>
          <w:rFonts w:eastAsia="Times New Roman"/>
        </w:rPr>
        <w:t>).Нижняя</w:t>
      </w:r>
      <w:proofErr w:type="gramEnd"/>
      <w:r>
        <w:rPr>
          <w:rFonts w:eastAsia="Times New Roman"/>
        </w:rPr>
        <w:t xml:space="preserve"> часть стойки (опора) имеет горизонтальные выдвижные рычаги, для увеличения устойчивости «Забора».</w:t>
      </w:r>
      <w:r w:rsidR="005F5C44">
        <w:rPr>
          <w:rFonts w:eastAsia="Times New Roman"/>
        </w:rPr>
        <w:t xml:space="preserve"> </w:t>
      </w:r>
      <w:r>
        <w:rPr>
          <w:rFonts w:eastAsia="Times New Roman"/>
        </w:rPr>
        <w:t>Время для подготовки и монтажа «Забора» не превышает 20 минут.</w:t>
      </w:r>
    </w:p>
    <w:p w:rsidR="00034B61" w:rsidRDefault="00034B61" w:rsidP="001412AD">
      <w:pPr>
        <w:jc w:val="both"/>
        <w:rPr>
          <w:rFonts w:eastAsia="Times New Roman"/>
        </w:rPr>
      </w:pPr>
    </w:p>
    <w:p w:rsidR="00034B61" w:rsidRDefault="001412AD" w:rsidP="001412AD">
      <w:pPr>
        <w:jc w:val="both"/>
        <w:rPr>
          <w:rStyle w:val="a3"/>
          <w:rFonts w:eastAsia="Times New Roman"/>
        </w:rPr>
      </w:pPr>
      <w:r>
        <w:rPr>
          <w:rStyle w:val="a3"/>
          <w:rFonts w:eastAsia="Times New Roman"/>
        </w:rPr>
        <w:t xml:space="preserve">Требования к механическим и физическим свойствам: 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Так как «Забор» может эксплуатироваться в атмосферных условиях, то все его металлические части должны быть защищены антикоррозионным, влагостойким покрытием: рама – оцинкована;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Деревянный щит имеет наружную поверхность с высоким коэффициентом стойкости к атмосферным воздействиям - обработан «Палубным лаком», не менее чем в два слоя.</w:t>
      </w:r>
    </w:p>
    <w:p w:rsidR="00034B61" w:rsidRDefault="00034B61" w:rsidP="001412AD">
      <w:pPr>
        <w:jc w:val="both"/>
        <w:rPr>
          <w:rFonts w:eastAsia="Times New Roman"/>
        </w:rPr>
      </w:pPr>
    </w:p>
    <w:p w:rsidR="00034B61" w:rsidRDefault="001412AD" w:rsidP="001412AD">
      <w:pPr>
        <w:jc w:val="both"/>
        <w:rPr>
          <w:rStyle w:val="a3"/>
          <w:rFonts w:eastAsia="Times New Roman"/>
        </w:rPr>
      </w:pPr>
      <w:r>
        <w:rPr>
          <w:rStyle w:val="a3"/>
          <w:rFonts w:eastAsia="Times New Roman"/>
        </w:rPr>
        <w:t xml:space="preserve">Требования к надёжности: 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 xml:space="preserve">Основные элементы «Забора» – стойки и каркас щита, гарантированный срок эксплуатации не менее 5-ти лет, деревянный щит – </w:t>
      </w:r>
      <w:r w:rsidR="00F905D3">
        <w:rPr>
          <w:rFonts w:eastAsia="Times New Roman"/>
        </w:rPr>
        <w:t xml:space="preserve">не менее </w:t>
      </w:r>
      <w:r>
        <w:rPr>
          <w:rFonts w:eastAsia="Times New Roman"/>
        </w:rPr>
        <w:t xml:space="preserve">3 года, резиновое покрытие – </w:t>
      </w:r>
      <w:r w:rsidR="00F905D3">
        <w:rPr>
          <w:rFonts w:eastAsia="Times New Roman"/>
        </w:rPr>
        <w:t xml:space="preserve">не менее </w:t>
      </w:r>
      <w:r>
        <w:rPr>
          <w:rFonts w:eastAsia="Times New Roman"/>
        </w:rPr>
        <w:t>2 года.</w:t>
      </w:r>
    </w:p>
    <w:p w:rsidR="00034B61" w:rsidRDefault="001412AD" w:rsidP="001412AD">
      <w:pPr>
        <w:jc w:val="both"/>
        <w:rPr>
          <w:rStyle w:val="a3"/>
          <w:rFonts w:eastAsia="Times New Roman"/>
        </w:rPr>
      </w:pPr>
      <w:r>
        <w:rPr>
          <w:rStyle w:val="a3"/>
          <w:rFonts w:eastAsia="Times New Roman"/>
        </w:rPr>
        <w:t xml:space="preserve">Элементы комплектации: 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Левая стойка в сборе – 1шт.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Правая стойка в сборе – 1шт.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Щит деревянный в металлическом каркасе в сборе – 1шт.</w:t>
      </w:r>
    </w:p>
    <w:p w:rsidR="00034B61" w:rsidRDefault="00034B61" w:rsidP="001412AD">
      <w:pPr>
        <w:jc w:val="both"/>
        <w:rPr>
          <w:rStyle w:val="a3"/>
          <w:rFonts w:eastAsia="Times New Roman"/>
        </w:rPr>
      </w:pPr>
    </w:p>
    <w:p w:rsidR="00034B61" w:rsidRDefault="001412AD" w:rsidP="001412AD">
      <w:pPr>
        <w:jc w:val="both"/>
        <w:rPr>
          <w:rStyle w:val="a3"/>
          <w:rFonts w:eastAsia="Times New Roman"/>
        </w:rPr>
      </w:pPr>
      <w:r>
        <w:rPr>
          <w:rStyle w:val="a3"/>
          <w:rFonts w:eastAsia="Times New Roman"/>
        </w:rPr>
        <w:t xml:space="preserve">Материал элементов конструкции: 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Стойки изготавливаются из профильной металлической сварной трубы -70х70х3, и металлического бруса 60Х60,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Щит изготавливается из шпунтованной половой доски толщиной 50мм,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Металлический каркас щита изготовлен из швеллера №5</w:t>
      </w:r>
    </w:p>
    <w:p w:rsidR="00034B61" w:rsidRDefault="001412AD" w:rsidP="001412AD">
      <w:pPr>
        <w:jc w:val="both"/>
        <w:rPr>
          <w:rFonts w:eastAsia="Times New Roman"/>
        </w:rPr>
      </w:pPr>
      <w:r>
        <w:rPr>
          <w:rFonts w:eastAsia="Times New Roman"/>
        </w:rPr>
        <w:t>Резиновое покрытие на щит</w:t>
      </w:r>
      <w:r w:rsidR="00A75332">
        <w:rPr>
          <w:rFonts w:eastAsia="Times New Roman"/>
        </w:rPr>
        <w:t>а</w:t>
      </w:r>
      <w:r>
        <w:rPr>
          <w:rFonts w:eastAsia="Times New Roman"/>
        </w:rPr>
        <w:t xml:space="preserve"> – </w:t>
      </w:r>
      <w:r w:rsidR="00A75332">
        <w:rPr>
          <w:rFonts w:eastAsia="Times New Roman"/>
        </w:rPr>
        <w:t>покрытие «</w:t>
      </w:r>
      <w:proofErr w:type="spellStart"/>
      <w:r>
        <w:rPr>
          <w:rFonts w:eastAsia="Times New Roman"/>
        </w:rPr>
        <w:t>Регупол</w:t>
      </w:r>
      <w:proofErr w:type="spellEnd"/>
      <w:r w:rsidR="00A75332">
        <w:rPr>
          <w:rFonts w:eastAsia="Times New Roman"/>
        </w:rPr>
        <w:t>» или аналог</w:t>
      </w:r>
      <w:r>
        <w:rPr>
          <w:rFonts w:eastAsia="Times New Roman"/>
        </w:rPr>
        <w:t>.</w:t>
      </w:r>
    </w:p>
    <w:p w:rsidR="00034B61" w:rsidRDefault="00034B61" w:rsidP="001412AD">
      <w:pPr>
        <w:jc w:val="both"/>
        <w:rPr>
          <w:rFonts w:eastAsia="Times New Roman"/>
        </w:rPr>
      </w:pPr>
    </w:p>
    <w:p w:rsidR="001412AD" w:rsidRDefault="001412AD" w:rsidP="001412AD">
      <w:pPr>
        <w:jc w:val="both"/>
        <w:rPr>
          <w:rFonts w:eastAsia="Times New Roman"/>
        </w:rPr>
      </w:pPr>
      <w:r>
        <w:rPr>
          <w:rStyle w:val="a3"/>
          <w:rFonts w:eastAsia="Times New Roman"/>
        </w:rPr>
        <w:t>Общий вес «Забора» в сборе</w:t>
      </w:r>
      <w:r w:rsidR="00A75332">
        <w:rPr>
          <w:rStyle w:val="a3"/>
          <w:rFonts w:eastAsia="Times New Roman"/>
        </w:rPr>
        <w:t>-</w:t>
      </w:r>
      <w:r>
        <w:rPr>
          <w:rStyle w:val="a3"/>
          <w:rFonts w:eastAsia="Times New Roman"/>
        </w:rPr>
        <w:t xml:space="preserve"> не </w:t>
      </w:r>
      <w:r w:rsidR="00A75332">
        <w:rPr>
          <w:rStyle w:val="a3"/>
          <w:rFonts w:eastAsia="Times New Roman"/>
        </w:rPr>
        <w:t>более</w:t>
      </w:r>
      <w:r>
        <w:rPr>
          <w:rStyle w:val="a3"/>
          <w:rFonts w:eastAsia="Times New Roman"/>
        </w:rPr>
        <w:t xml:space="preserve"> 160 кг. Объем в разобранном виде </w:t>
      </w:r>
      <w:r w:rsidR="00A75332">
        <w:rPr>
          <w:rStyle w:val="a3"/>
          <w:rFonts w:eastAsia="Times New Roman"/>
        </w:rPr>
        <w:t xml:space="preserve">не более </w:t>
      </w:r>
      <w:bookmarkStart w:id="0" w:name="_GoBack"/>
      <w:bookmarkEnd w:id="0"/>
      <w:r>
        <w:rPr>
          <w:rStyle w:val="a3"/>
          <w:rFonts w:eastAsia="Times New Roman"/>
        </w:rPr>
        <w:t xml:space="preserve">2 </w:t>
      </w:r>
      <w:proofErr w:type="spellStart"/>
      <w:r>
        <w:rPr>
          <w:rStyle w:val="a3"/>
          <w:rFonts w:eastAsia="Times New Roman"/>
        </w:rPr>
        <w:t>м.куб</w:t>
      </w:r>
      <w:proofErr w:type="spellEnd"/>
      <w:r>
        <w:rPr>
          <w:rStyle w:val="a3"/>
          <w:rFonts w:eastAsia="Times New Roman"/>
        </w:rPr>
        <w:t>.</w:t>
      </w:r>
    </w:p>
    <w:p w:rsidR="00EC7315" w:rsidRDefault="001412AD" w:rsidP="00EC7315">
      <w:pPr>
        <w:spacing w:line="270" w:lineRule="atLeast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</w:rPr>
        <w:br/>
      </w:r>
    </w:p>
    <w:p w:rsidR="00DB6F31" w:rsidRDefault="000F4A4F" w:rsidP="001412AD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1082040" y="2118360"/>
            <wp:positionH relativeFrom="column">
              <wp:align>left</wp:align>
            </wp:positionH>
            <wp:positionV relativeFrom="paragraph">
              <wp:align>top</wp:align>
            </wp:positionV>
            <wp:extent cx="2383790" cy="30175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94947AB">
            <wp:extent cx="2091055" cy="217614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 w:type="textWrapping" w:clear="all"/>
      </w:r>
    </w:p>
    <w:sectPr w:rsidR="00DB6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BC"/>
    <w:rsid w:val="00034B61"/>
    <w:rsid w:val="000F4A4F"/>
    <w:rsid w:val="001412AD"/>
    <w:rsid w:val="00320084"/>
    <w:rsid w:val="005F5C44"/>
    <w:rsid w:val="00790B6E"/>
    <w:rsid w:val="009D59BC"/>
    <w:rsid w:val="00A75332"/>
    <w:rsid w:val="00DB6F31"/>
    <w:rsid w:val="00EC7315"/>
    <w:rsid w:val="00F9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9609B-54E0-4A52-8230-77044638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2A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412A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12AD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41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 Виктор Анатольевич</dc:creator>
  <cp:keywords/>
  <dc:description/>
  <cp:lastModifiedBy>Кошелев Михаил Анатольевич</cp:lastModifiedBy>
  <cp:revision>10</cp:revision>
  <dcterms:created xsi:type="dcterms:W3CDTF">2014-04-08T07:56:00Z</dcterms:created>
  <dcterms:modified xsi:type="dcterms:W3CDTF">2014-08-07T06:21:00Z</dcterms:modified>
</cp:coreProperties>
</file>